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5644C77D" w:rsidR="000E151A" w:rsidRDefault="0007445A" w:rsidP="009C5E29">
      <w:pPr>
        <w:jc w:val="center"/>
        <w:rPr>
          <w:sz w:val="24"/>
          <w:szCs w:val="24"/>
        </w:rPr>
      </w:pPr>
      <w:r>
        <w:rPr>
          <w:sz w:val="24"/>
          <w:szCs w:val="24"/>
        </w:rPr>
        <w:t>Tertiary</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25AF19D9" w:rsidR="000E151A" w:rsidRDefault="000E151A" w:rsidP="009C5E29">
      <w:pPr>
        <w:jc w:val="center"/>
        <w:rPr>
          <w:sz w:val="24"/>
          <w:szCs w:val="24"/>
        </w:rPr>
      </w:pPr>
      <w:r>
        <w:rPr>
          <w:sz w:val="24"/>
          <w:szCs w:val="24"/>
        </w:rPr>
        <w:t xml:space="preserve">August </w:t>
      </w:r>
      <w:r w:rsidR="00F531CF">
        <w:rPr>
          <w:sz w:val="24"/>
          <w:szCs w:val="24"/>
        </w:rPr>
        <w:t>2</w:t>
      </w:r>
      <w:r w:rsidR="0007445A">
        <w:rPr>
          <w:sz w:val="24"/>
          <w:szCs w:val="24"/>
        </w:rPr>
        <w:t>7</w:t>
      </w:r>
      <w:r>
        <w:rPr>
          <w:sz w:val="24"/>
          <w:szCs w:val="24"/>
        </w:rPr>
        <w:t>, 2025</w:t>
      </w:r>
    </w:p>
    <w:p w14:paraId="14663A9F" w14:textId="77777777" w:rsidR="000E151A" w:rsidRDefault="000E151A" w:rsidP="000E151A">
      <w:pPr>
        <w:rPr>
          <w:sz w:val="24"/>
          <w:szCs w:val="24"/>
        </w:rPr>
      </w:pPr>
    </w:p>
    <w:p w14:paraId="2996C703" w14:textId="7AE38496" w:rsidR="000E151A" w:rsidRDefault="000E151A" w:rsidP="000E151A">
      <w:pPr>
        <w:rPr>
          <w:sz w:val="24"/>
          <w:szCs w:val="24"/>
        </w:rPr>
      </w:pPr>
      <w:r>
        <w:rPr>
          <w:sz w:val="24"/>
          <w:szCs w:val="24"/>
        </w:rPr>
        <w:t xml:space="preserve">Attendees: </w:t>
      </w:r>
      <w:r w:rsidR="008153FA">
        <w:rPr>
          <w:sz w:val="24"/>
          <w:szCs w:val="24"/>
        </w:rPr>
        <w:t>Kate, Ric, Roger</w:t>
      </w:r>
    </w:p>
    <w:p w14:paraId="70D3F23A" w14:textId="2FF2FDA9" w:rsidR="000E151A" w:rsidRDefault="000E151A" w:rsidP="000E151A">
      <w:pPr>
        <w:rPr>
          <w:sz w:val="24"/>
          <w:szCs w:val="24"/>
        </w:rPr>
      </w:pPr>
      <w:r>
        <w:rPr>
          <w:sz w:val="24"/>
          <w:szCs w:val="24"/>
        </w:rPr>
        <w:t xml:space="preserve">Not in Attendance: </w:t>
      </w:r>
      <w:r w:rsidR="008153FA">
        <w:rPr>
          <w:sz w:val="24"/>
          <w:szCs w:val="24"/>
        </w:rPr>
        <w:t>Faaluaina, Karen, Karl</w:t>
      </w:r>
    </w:p>
    <w:p w14:paraId="08CF4C64" w14:textId="7C09BEA7" w:rsidR="000E151A" w:rsidRDefault="000E151A" w:rsidP="000E151A">
      <w:pPr>
        <w:rPr>
          <w:sz w:val="24"/>
          <w:szCs w:val="24"/>
        </w:rPr>
      </w:pPr>
      <w:r>
        <w:rPr>
          <w:sz w:val="24"/>
          <w:szCs w:val="24"/>
        </w:rPr>
        <w:t>Staff: Manveer, Sahba</w:t>
      </w:r>
    </w:p>
    <w:p w14:paraId="7050A0E7" w14:textId="4924AFE7" w:rsidR="000E151A" w:rsidRDefault="000E151A" w:rsidP="000E151A">
      <w:pPr>
        <w:rPr>
          <w:sz w:val="24"/>
          <w:szCs w:val="24"/>
        </w:rPr>
      </w:pPr>
      <w:r>
        <w:rPr>
          <w:sz w:val="24"/>
          <w:szCs w:val="24"/>
        </w:rPr>
        <w:t>SME: Cynthia</w:t>
      </w:r>
    </w:p>
    <w:p w14:paraId="18FEBE14" w14:textId="77777777" w:rsidR="000E151A" w:rsidRDefault="000E151A" w:rsidP="000E151A">
      <w:pPr>
        <w:rPr>
          <w:sz w:val="24"/>
          <w:szCs w:val="24"/>
        </w:rPr>
      </w:pPr>
    </w:p>
    <w:p w14:paraId="724E3F74" w14:textId="77777777" w:rsidR="000E151A" w:rsidRPr="000E151A" w:rsidRDefault="000E151A" w:rsidP="000E151A">
      <w:pPr>
        <w:pStyle w:val="ListParagraph"/>
        <w:numPr>
          <w:ilvl w:val="0"/>
          <w:numId w:val="7"/>
        </w:numPr>
        <w:rPr>
          <w:sz w:val="24"/>
          <w:szCs w:val="24"/>
        </w:rPr>
      </w:pPr>
      <w:r w:rsidRPr="000E151A">
        <w:rPr>
          <w:sz w:val="24"/>
          <w:szCs w:val="24"/>
        </w:rPr>
        <w:t>The meeting began with AGO staff welcoming the group and doing a round of quick introductions. AGO staff reminded the subcommittee that the goal of the Task Force’s final report is to provide a community-based, public health framework for addressing and preventing domestic extremism and mass violence in Washington State.</w:t>
      </w:r>
    </w:p>
    <w:p w14:paraId="3EE53E4D" w14:textId="77777777" w:rsidR="000E151A" w:rsidRPr="000E151A" w:rsidRDefault="000E151A" w:rsidP="000E151A">
      <w:pPr>
        <w:pStyle w:val="ListParagraph"/>
        <w:numPr>
          <w:ilvl w:val="0"/>
          <w:numId w:val="7"/>
        </w:numPr>
        <w:rPr>
          <w:sz w:val="24"/>
          <w:szCs w:val="24"/>
        </w:rPr>
      </w:pPr>
      <w:r w:rsidRPr="000E151A">
        <w:rPr>
          <w:sz w:val="24"/>
          <w:szCs w:val="24"/>
        </w:rPr>
        <w:t>AGO staff went over the goal of the subcommittee work: to develop potential recommendations for that public health framework for the full Task Force to discuss, finalize, and vote on next year for the final report. Each subcommittee will focus on developing recommendations within their level of prevention.</w:t>
      </w:r>
    </w:p>
    <w:p w14:paraId="536473AA" w14:textId="77777777" w:rsidR="00001F18" w:rsidRDefault="002666F4" w:rsidP="000E151A">
      <w:pPr>
        <w:pStyle w:val="ListParagraph"/>
        <w:numPr>
          <w:ilvl w:val="0"/>
          <w:numId w:val="7"/>
        </w:numPr>
        <w:rPr>
          <w:sz w:val="24"/>
          <w:szCs w:val="24"/>
        </w:rPr>
      </w:pPr>
      <w:r>
        <w:rPr>
          <w:sz w:val="24"/>
          <w:szCs w:val="24"/>
        </w:rPr>
        <w:t xml:space="preserve">AGO staff and SME went over what </w:t>
      </w:r>
      <w:r w:rsidR="00001F18">
        <w:rPr>
          <w:sz w:val="24"/>
          <w:szCs w:val="24"/>
        </w:rPr>
        <w:t>tertiary</w:t>
      </w:r>
      <w:r>
        <w:rPr>
          <w:sz w:val="24"/>
          <w:szCs w:val="24"/>
        </w:rPr>
        <w:t xml:space="preserve"> prevention is, highlighting where it falls within a public health framework</w:t>
      </w:r>
      <w:r w:rsidR="00F531CF">
        <w:rPr>
          <w:sz w:val="24"/>
          <w:szCs w:val="24"/>
        </w:rPr>
        <w:t>. SME and AGO staff reminded the subcommittee of the parameters that recommendations need to fall within, pointing to the specific proviso language prohibiting the Task Force from creating recommendations that would</w:t>
      </w:r>
      <w:r w:rsidR="00D62650">
        <w:rPr>
          <w:sz w:val="24"/>
          <w:szCs w:val="24"/>
        </w:rPr>
        <w:t xml:space="preserve"> alter any aspect of criminal law, create new criminal penalties, or increase criminal law enforcement.</w:t>
      </w:r>
      <w:r w:rsidR="006F006C">
        <w:rPr>
          <w:sz w:val="24"/>
          <w:szCs w:val="24"/>
        </w:rPr>
        <w:t xml:space="preserve"> </w:t>
      </w:r>
    </w:p>
    <w:p w14:paraId="1AADF428" w14:textId="1C458957" w:rsidR="00001F18" w:rsidRDefault="006E4619" w:rsidP="000E151A">
      <w:pPr>
        <w:pStyle w:val="ListParagraph"/>
        <w:numPr>
          <w:ilvl w:val="0"/>
          <w:numId w:val="7"/>
        </w:numPr>
        <w:rPr>
          <w:sz w:val="24"/>
          <w:szCs w:val="24"/>
        </w:rPr>
      </w:pPr>
      <w:r>
        <w:rPr>
          <w:sz w:val="24"/>
          <w:szCs w:val="24"/>
        </w:rPr>
        <w:t xml:space="preserve">The subcommittee talked about </w:t>
      </w:r>
      <w:proofErr w:type="gramStart"/>
      <w:r>
        <w:rPr>
          <w:sz w:val="24"/>
          <w:szCs w:val="24"/>
        </w:rPr>
        <w:t>a number of</w:t>
      </w:r>
      <w:proofErr w:type="gramEnd"/>
      <w:r>
        <w:rPr>
          <w:sz w:val="24"/>
          <w:szCs w:val="24"/>
        </w:rPr>
        <w:t xml:space="preserve"> topics that could fall within the tertiary prevention level, based on professional and personal experience. Two emerging themes were thinking about how to respond to the needs of the community at large, both in the aftermath of an incident but also as violence or hate is escalating in the environment and how to disrupt that escalation, which overlaps with secondary prevention efforts, and thinking about the importance of re-entry work for both the individual radicalized or mobilized to violence and those who are on the peripheral of that individual (family members, friends, witnesses, first responders, etc.).</w:t>
      </w:r>
    </w:p>
    <w:p w14:paraId="05774E55" w14:textId="25C2CCCA" w:rsidR="006E4619" w:rsidRDefault="006E4619" w:rsidP="000E151A">
      <w:pPr>
        <w:pStyle w:val="ListParagraph"/>
        <w:numPr>
          <w:ilvl w:val="0"/>
          <w:numId w:val="7"/>
        </w:numPr>
        <w:rPr>
          <w:sz w:val="24"/>
          <w:szCs w:val="24"/>
        </w:rPr>
      </w:pPr>
      <w:r>
        <w:rPr>
          <w:sz w:val="24"/>
          <w:szCs w:val="24"/>
        </w:rPr>
        <w:t>SME continued the thread</w:t>
      </w:r>
      <w:r w:rsidR="0007552C">
        <w:rPr>
          <w:sz w:val="24"/>
          <w:szCs w:val="24"/>
        </w:rPr>
        <w:t xml:space="preserve"> about the importance of thinking about the impacts and needs of family members and friends of those individuals who have been radicalized and/or mobilized to violence. SME also suggested that the group think about the difference between deradicalization and disengagement.</w:t>
      </w:r>
    </w:p>
    <w:p w14:paraId="0A49B27F" w14:textId="75439164" w:rsidR="0007552C" w:rsidRDefault="0007552C" w:rsidP="000E151A">
      <w:pPr>
        <w:pStyle w:val="ListParagraph"/>
        <w:numPr>
          <w:ilvl w:val="0"/>
          <w:numId w:val="7"/>
        </w:numPr>
        <w:rPr>
          <w:sz w:val="24"/>
          <w:szCs w:val="24"/>
        </w:rPr>
      </w:pPr>
      <w:r>
        <w:rPr>
          <w:sz w:val="24"/>
          <w:szCs w:val="24"/>
        </w:rPr>
        <w:t xml:space="preserve">The subcommittee posed the question of how to get people out of systems when they’re ready and how to think about recommendations or solutions </w:t>
      </w:r>
      <w:r w:rsidR="00C755BF">
        <w:rPr>
          <w:sz w:val="24"/>
          <w:szCs w:val="24"/>
        </w:rPr>
        <w:t xml:space="preserve">to support that. The group talked about dreaming big and innovatively </w:t>
      </w:r>
      <w:r w:rsidR="00451628">
        <w:rPr>
          <w:sz w:val="24"/>
          <w:szCs w:val="24"/>
        </w:rPr>
        <w:t xml:space="preserve">with potential policy solutions and </w:t>
      </w:r>
      <w:proofErr w:type="gramStart"/>
      <w:r w:rsidR="00451628">
        <w:rPr>
          <w:sz w:val="24"/>
          <w:szCs w:val="24"/>
        </w:rPr>
        <w:t>recommendations, and</w:t>
      </w:r>
      <w:proofErr w:type="gramEnd"/>
      <w:r w:rsidR="00451628">
        <w:rPr>
          <w:sz w:val="24"/>
          <w:szCs w:val="24"/>
        </w:rPr>
        <w:t xml:space="preserve"> also thinking about how other social problems play a role in radicalization or mobilization to violence.</w:t>
      </w:r>
    </w:p>
    <w:p w14:paraId="3C2FD65D" w14:textId="46F85AB8" w:rsidR="00451628" w:rsidRDefault="00451628" w:rsidP="000E151A">
      <w:pPr>
        <w:pStyle w:val="ListParagraph"/>
        <w:numPr>
          <w:ilvl w:val="0"/>
          <w:numId w:val="7"/>
        </w:numPr>
        <w:rPr>
          <w:sz w:val="24"/>
          <w:szCs w:val="24"/>
        </w:rPr>
      </w:pPr>
      <w:r>
        <w:rPr>
          <w:sz w:val="24"/>
          <w:szCs w:val="24"/>
        </w:rPr>
        <w:lastRenderedPageBreak/>
        <w:t>The group talked about looking at what kind of existing work in the tertiary level exist, especially community-based organizations doing general support work, and how recommendations can be made to assist those organizations already doing the work to include deradicalization and disengagement in the extremism and mass violence space as a service area.</w:t>
      </w:r>
    </w:p>
    <w:p w14:paraId="35376FC0" w14:textId="21E4C8AB" w:rsidR="00451628" w:rsidRDefault="00451628" w:rsidP="000E151A">
      <w:pPr>
        <w:pStyle w:val="ListParagraph"/>
        <w:numPr>
          <w:ilvl w:val="0"/>
          <w:numId w:val="7"/>
        </w:numPr>
        <w:rPr>
          <w:sz w:val="24"/>
          <w:szCs w:val="24"/>
        </w:rPr>
      </w:pPr>
      <w:r>
        <w:rPr>
          <w:sz w:val="24"/>
          <w:szCs w:val="24"/>
        </w:rPr>
        <w:t>The group asked if recommendations made need to be broadly applicable, or if there can be some recommendations that are more specific. Staff let the group know that recommendations are up to the group as a collective, and the final recommendations will be whatever the full task force decides on next year.</w:t>
      </w:r>
    </w:p>
    <w:p w14:paraId="657CC4D0" w14:textId="2120D4E4" w:rsidR="00451628" w:rsidRDefault="00451628" w:rsidP="000E151A">
      <w:pPr>
        <w:pStyle w:val="ListParagraph"/>
        <w:numPr>
          <w:ilvl w:val="0"/>
          <w:numId w:val="7"/>
        </w:numPr>
        <w:rPr>
          <w:sz w:val="24"/>
          <w:szCs w:val="24"/>
        </w:rPr>
      </w:pPr>
      <w:r>
        <w:rPr>
          <w:sz w:val="24"/>
          <w:szCs w:val="24"/>
        </w:rPr>
        <w:t xml:space="preserve">The group and SME engaged in conversation around the capacity of the task force and staff to explore the co-occurrence of mass violence </w:t>
      </w:r>
      <w:r w:rsidR="00CC08D2">
        <w:rPr>
          <w:sz w:val="24"/>
          <w:szCs w:val="24"/>
        </w:rPr>
        <w:t>or extremist incidents with other societal harms, such as intimate or domestic partner violence and conspiracy theorists. The group talked a bit about criminal charges typically affiliated with extremist groups, including human trafficking, sex trafficking, and drug trafficking. The group also touched on how AI machines have the potential to further push a vulnerable individual down a path of radicalization or mobilization to violence depending on the information that the AI machine feeds the individual in response to chat questions.</w:t>
      </w:r>
    </w:p>
    <w:p w14:paraId="5E405AC5" w14:textId="2579D09A" w:rsidR="00CC08D2" w:rsidRDefault="00CC08D2" w:rsidP="000E151A">
      <w:pPr>
        <w:pStyle w:val="ListParagraph"/>
        <w:numPr>
          <w:ilvl w:val="0"/>
          <w:numId w:val="7"/>
        </w:numPr>
        <w:rPr>
          <w:sz w:val="24"/>
          <w:szCs w:val="24"/>
        </w:rPr>
      </w:pPr>
      <w:r>
        <w:rPr>
          <w:sz w:val="24"/>
          <w:szCs w:val="24"/>
        </w:rPr>
        <w:t xml:space="preserve">The subcommittee finished their meeting with subcommittee logistics, deciding to meet </w:t>
      </w:r>
      <w:r w:rsidR="00DE6428">
        <w:rPr>
          <w:sz w:val="24"/>
          <w:szCs w:val="24"/>
        </w:rPr>
        <w:t>again in October to learn more about existing tertiary efforts in Washington</w:t>
      </w:r>
      <w:r>
        <w:rPr>
          <w:sz w:val="24"/>
          <w:szCs w:val="24"/>
        </w:rPr>
        <w:t xml:space="preserve"> </w:t>
      </w:r>
      <w:r w:rsidR="00DE6428">
        <w:rPr>
          <w:sz w:val="24"/>
          <w:szCs w:val="24"/>
        </w:rPr>
        <w:t xml:space="preserve">and continue sharing their personal and professional experiences to </w:t>
      </w:r>
      <w:proofErr w:type="gramStart"/>
      <w:r w:rsidR="00DE6428">
        <w:rPr>
          <w:sz w:val="24"/>
          <w:szCs w:val="24"/>
        </w:rPr>
        <w:t>inform</w:t>
      </w:r>
      <w:proofErr w:type="gramEnd"/>
      <w:r w:rsidR="00DE6428">
        <w:rPr>
          <w:sz w:val="24"/>
          <w:szCs w:val="24"/>
        </w:rPr>
        <w:t xml:space="preserve"> potential recommendations.</w:t>
      </w:r>
    </w:p>
    <w:sectPr w:rsidR="00CC0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5"/>
  </w:num>
  <w:num w:numId="3" w16cid:durableId="1338120782">
    <w:abstractNumId w:val="6"/>
  </w:num>
  <w:num w:numId="4" w16cid:durableId="119961659">
    <w:abstractNumId w:val="0"/>
  </w:num>
  <w:num w:numId="5" w16cid:durableId="254630871">
    <w:abstractNumId w:val="2"/>
  </w:num>
  <w:num w:numId="6" w16cid:durableId="27528887">
    <w:abstractNumId w:val="3"/>
  </w:num>
  <w:num w:numId="7" w16cid:durableId="31996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41DE6"/>
    <w:rsid w:val="0007445A"/>
    <w:rsid w:val="0007552C"/>
    <w:rsid w:val="00082979"/>
    <w:rsid w:val="000A1B8C"/>
    <w:rsid w:val="000E151A"/>
    <w:rsid w:val="001917C0"/>
    <w:rsid w:val="001B0536"/>
    <w:rsid w:val="001D3673"/>
    <w:rsid w:val="00223227"/>
    <w:rsid w:val="0024582F"/>
    <w:rsid w:val="002666F4"/>
    <w:rsid w:val="002F3667"/>
    <w:rsid w:val="003464E7"/>
    <w:rsid w:val="003D6907"/>
    <w:rsid w:val="00451628"/>
    <w:rsid w:val="00474FDB"/>
    <w:rsid w:val="004867D3"/>
    <w:rsid w:val="0049150B"/>
    <w:rsid w:val="004B7C49"/>
    <w:rsid w:val="004C273A"/>
    <w:rsid w:val="005A76A0"/>
    <w:rsid w:val="00621545"/>
    <w:rsid w:val="006303CD"/>
    <w:rsid w:val="006A6655"/>
    <w:rsid w:val="006E4619"/>
    <w:rsid w:val="006F006C"/>
    <w:rsid w:val="007B2AAA"/>
    <w:rsid w:val="008153FA"/>
    <w:rsid w:val="0085100F"/>
    <w:rsid w:val="00991E32"/>
    <w:rsid w:val="009A4145"/>
    <w:rsid w:val="009C5E29"/>
    <w:rsid w:val="00A20119"/>
    <w:rsid w:val="00A266E4"/>
    <w:rsid w:val="00A3135D"/>
    <w:rsid w:val="00B8782D"/>
    <w:rsid w:val="00BB0175"/>
    <w:rsid w:val="00BF3C27"/>
    <w:rsid w:val="00C164BA"/>
    <w:rsid w:val="00C755BF"/>
    <w:rsid w:val="00CC08D2"/>
    <w:rsid w:val="00CC32F5"/>
    <w:rsid w:val="00D37FDF"/>
    <w:rsid w:val="00D62650"/>
    <w:rsid w:val="00D759CB"/>
    <w:rsid w:val="00DE6428"/>
    <w:rsid w:val="00F11AE3"/>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2</cp:revision>
  <dcterms:created xsi:type="dcterms:W3CDTF">2025-09-18T22:53:00Z</dcterms:created>
  <dcterms:modified xsi:type="dcterms:W3CDTF">2025-09-18T22:53:00Z</dcterms:modified>
</cp:coreProperties>
</file>