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0433F49D" w:rsidR="000E151A" w:rsidRDefault="00FF149D" w:rsidP="009C5E29">
      <w:pPr>
        <w:jc w:val="center"/>
        <w:rPr>
          <w:sz w:val="24"/>
          <w:szCs w:val="24"/>
        </w:rPr>
      </w:pPr>
      <w:r>
        <w:rPr>
          <w:sz w:val="24"/>
          <w:szCs w:val="24"/>
        </w:rPr>
        <w:t xml:space="preserve">Primordial and </w:t>
      </w:r>
      <w:r w:rsidR="000C4753">
        <w:rPr>
          <w:sz w:val="24"/>
          <w:szCs w:val="24"/>
        </w:rPr>
        <w:t>Primary</w:t>
      </w:r>
      <w:r w:rsidR="000E151A">
        <w:rPr>
          <w:sz w:val="24"/>
          <w:szCs w:val="24"/>
        </w:rPr>
        <w:t xml:space="preserve"> Prevention</w:t>
      </w:r>
      <w:r>
        <w:rPr>
          <w:sz w:val="24"/>
          <w:szCs w:val="24"/>
        </w:rPr>
        <w:t xml:space="preserve"> Joint</w:t>
      </w:r>
      <w:r w:rsidR="000E151A">
        <w:rPr>
          <w:sz w:val="24"/>
          <w:szCs w:val="24"/>
        </w:rPr>
        <w:t xml:space="preserve"> 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270BBC0B" w:rsidR="000E151A" w:rsidRDefault="0020341D" w:rsidP="009C5E29">
      <w:pPr>
        <w:jc w:val="center"/>
        <w:rPr>
          <w:sz w:val="24"/>
          <w:szCs w:val="24"/>
        </w:rPr>
      </w:pPr>
      <w:r>
        <w:rPr>
          <w:sz w:val="24"/>
          <w:szCs w:val="24"/>
        </w:rPr>
        <w:t>January 14, 2026</w:t>
      </w:r>
    </w:p>
    <w:p w14:paraId="14663A9F" w14:textId="77777777" w:rsidR="000E151A" w:rsidRDefault="000E151A" w:rsidP="000E151A">
      <w:pPr>
        <w:rPr>
          <w:sz w:val="24"/>
          <w:szCs w:val="24"/>
        </w:rPr>
      </w:pPr>
    </w:p>
    <w:p w14:paraId="2996C703" w14:textId="0BDEDCED" w:rsidR="000E151A" w:rsidRDefault="000E151A" w:rsidP="000E151A">
      <w:pPr>
        <w:rPr>
          <w:sz w:val="24"/>
          <w:szCs w:val="24"/>
        </w:rPr>
      </w:pPr>
      <w:r>
        <w:rPr>
          <w:sz w:val="24"/>
          <w:szCs w:val="24"/>
        </w:rPr>
        <w:t xml:space="preserve">Attendees: </w:t>
      </w:r>
      <w:r w:rsidR="00FF149D">
        <w:rPr>
          <w:sz w:val="24"/>
          <w:szCs w:val="24"/>
        </w:rPr>
        <w:t xml:space="preserve">Leslie, Mercedes, Luis, Juan, Nate, </w:t>
      </w:r>
      <w:r w:rsidR="0020341D">
        <w:rPr>
          <w:sz w:val="24"/>
          <w:szCs w:val="24"/>
        </w:rPr>
        <w:t>Sahej</w:t>
      </w:r>
      <w:r w:rsidR="00FF149D">
        <w:rPr>
          <w:sz w:val="24"/>
          <w:szCs w:val="24"/>
        </w:rPr>
        <w:t>, Liz, Dyneeca, Sharonne</w:t>
      </w:r>
    </w:p>
    <w:p w14:paraId="1E882A12" w14:textId="6A7561B3" w:rsidR="0020341D" w:rsidRDefault="0020341D" w:rsidP="0020341D">
      <w:pPr>
        <w:rPr>
          <w:sz w:val="24"/>
          <w:szCs w:val="24"/>
        </w:rPr>
      </w:pPr>
      <w:r>
        <w:rPr>
          <w:sz w:val="24"/>
          <w:szCs w:val="24"/>
        </w:rPr>
        <w:t>Not in Attendance: Seth, Miri</w:t>
      </w:r>
    </w:p>
    <w:p w14:paraId="4C951649" w14:textId="2834719F" w:rsidR="000C4753" w:rsidRDefault="000C4753" w:rsidP="000E151A">
      <w:pPr>
        <w:rPr>
          <w:sz w:val="24"/>
          <w:szCs w:val="24"/>
        </w:rPr>
      </w:pPr>
      <w:r>
        <w:rPr>
          <w:sz w:val="24"/>
          <w:szCs w:val="24"/>
        </w:rPr>
        <w:t>Guest: Allen</w:t>
      </w:r>
      <w:r w:rsidR="00FF149D">
        <w:rPr>
          <w:sz w:val="24"/>
          <w:szCs w:val="24"/>
        </w:rPr>
        <w:t xml:space="preserve"> </w:t>
      </w:r>
    </w:p>
    <w:p w14:paraId="4D2CC7E9" w14:textId="43884340" w:rsidR="0020341D" w:rsidRDefault="0020341D" w:rsidP="000E151A">
      <w:pPr>
        <w:rPr>
          <w:sz w:val="24"/>
          <w:szCs w:val="24"/>
        </w:rPr>
      </w:pPr>
      <w:r>
        <w:rPr>
          <w:sz w:val="24"/>
          <w:szCs w:val="24"/>
        </w:rPr>
        <w:t>SME: Cynthia</w:t>
      </w:r>
    </w:p>
    <w:p w14:paraId="75AF3A7B" w14:textId="66B5E257" w:rsidR="000C4753" w:rsidRDefault="000E151A" w:rsidP="000E151A">
      <w:pPr>
        <w:rPr>
          <w:sz w:val="24"/>
          <w:szCs w:val="24"/>
        </w:rPr>
      </w:pPr>
      <w:r>
        <w:rPr>
          <w:sz w:val="24"/>
          <w:szCs w:val="24"/>
        </w:rPr>
        <w:t>Staff: Manveer</w:t>
      </w:r>
      <w:r w:rsidR="0020341D">
        <w:rPr>
          <w:sz w:val="24"/>
          <w:szCs w:val="24"/>
        </w:rPr>
        <w:t>, Sahba</w:t>
      </w:r>
    </w:p>
    <w:p w14:paraId="18FEBE14" w14:textId="77777777" w:rsidR="000E151A" w:rsidRDefault="000E151A" w:rsidP="000E151A">
      <w:pPr>
        <w:rPr>
          <w:sz w:val="24"/>
          <w:szCs w:val="24"/>
        </w:rPr>
      </w:pPr>
    </w:p>
    <w:p w14:paraId="699D2275" w14:textId="7878CB30" w:rsidR="0020341D" w:rsidRDefault="000E151A" w:rsidP="00846999">
      <w:pPr>
        <w:pStyle w:val="ListParagraph"/>
        <w:numPr>
          <w:ilvl w:val="0"/>
          <w:numId w:val="7"/>
        </w:numPr>
        <w:jc w:val="both"/>
        <w:rPr>
          <w:sz w:val="24"/>
          <w:szCs w:val="24"/>
        </w:rPr>
      </w:pPr>
      <w:r w:rsidRPr="000E151A">
        <w:rPr>
          <w:sz w:val="24"/>
          <w:szCs w:val="24"/>
        </w:rPr>
        <w:t>The meeting began with AGO staff welcoming the group</w:t>
      </w:r>
      <w:r w:rsidR="00FF149D">
        <w:rPr>
          <w:sz w:val="24"/>
          <w:szCs w:val="24"/>
        </w:rPr>
        <w:t xml:space="preserve"> and</w:t>
      </w:r>
      <w:r w:rsidR="0020341D">
        <w:rPr>
          <w:sz w:val="24"/>
          <w:szCs w:val="24"/>
        </w:rPr>
        <w:t xml:space="preserve"> setting the subcommittee’s task for the new year: developing recommendations</w:t>
      </w:r>
      <w:r w:rsidR="00033470">
        <w:rPr>
          <w:sz w:val="24"/>
          <w:szCs w:val="24"/>
        </w:rPr>
        <w:t xml:space="preserve"> specific to the subcommittee’s prevention level</w:t>
      </w:r>
      <w:r w:rsidR="0020341D">
        <w:rPr>
          <w:sz w:val="24"/>
          <w:szCs w:val="24"/>
        </w:rPr>
        <w:t xml:space="preserve"> for the task force to discuss and vote on in accordance with the proviso’s mandate. Staff shared that the initial ideas of current draft recommendations were informed by guest presentations and subcommittee discussions</w:t>
      </w:r>
      <w:r w:rsidR="00350C38">
        <w:rPr>
          <w:sz w:val="24"/>
          <w:szCs w:val="24"/>
        </w:rPr>
        <w:t>, and serve as a starting point for recommendation development.</w:t>
      </w:r>
    </w:p>
    <w:p w14:paraId="65AC3EDB" w14:textId="680B04E8" w:rsidR="00350C38" w:rsidRDefault="00350C38" w:rsidP="00846999">
      <w:pPr>
        <w:pStyle w:val="ListParagraph"/>
        <w:numPr>
          <w:ilvl w:val="0"/>
          <w:numId w:val="7"/>
        </w:numPr>
        <w:jc w:val="both"/>
        <w:rPr>
          <w:sz w:val="24"/>
          <w:szCs w:val="24"/>
        </w:rPr>
      </w:pPr>
      <w:r>
        <w:rPr>
          <w:sz w:val="24"/>
          <w:szCs w:val="24"/>
        </w:rPr>
        <w:t xml:space="preserve">Kicking of the discussion, the subcommittee expressed the desire to ensure that the final report clearly explains a public health framework, risk and protective factors, and how the recommendations, particularly the primordial and primary recommendations, work to address risk and protective factors, alongside the pathway to violence and violent extremism. The group also </w:t>
      </w:r>
      <w:r w:rsidR="00607434">
        <w:rPr>
          <w:sz w:val="24"/>
          <w:szCs w:val="24"/>
        </w:rPr>
        <w:t>said</w:t>
      </w:r>
      <w:r>
        <w:rPr>
          <w:sz w:val="24"/>
          <w:szCs w:val="24"/>
        </w:rPr>
        <w:t xml:space="preserve"> that they’d like to keep readability and plain language at the forefront when staff drafts the report.</w:t>
      </w:r>
    </w:p>
    <w:p w14:paraId="4704AA50" w14:textId="7BC8CEC2" w:rsidR="00A9639C" w:rsidRDefault="008230CD" w:rsidP="00846999">
      <w:pPr>
        <w:pStyle w:val="ListParagraph"/>
        <w:numPr>
          <w:ilvl w:val="0"/>
          <w:numId w:val="7"/>
        </w:numPr>
        <w:jc w:val="both"/>
        <w:rPr>
          <w:sz w:val="24"/>
          <w:szCs w:val="24"/>
        </w:rPr>
      </w:pPr>
      <w:r>
        <w:rPr>
          <w:sz w:val="24"/>
          <w:szCs w:val="24"/>
        </w:rPr>
        <w:t xml:space="preserve"> </w:t>
      </w:r>
      <w:r w:rsidR="00607434">
        <w:rPr>
          <w:sz w:val="24"/>
          <w:szCs w:val="24"/>
        </w:rPr>
        <w:t>The group suggested that recommendations make clear who can plug into the recommendations and put them into practice, highlighting that a public health framework requires partnership across multiple different stakeholders to be successful. Particularly, thinking about how family-level prevention can play a part in early intervention stages, and how youth can provide input on educational materials or recommendations clearly aimed to foster safe spaces for youth to receive mentorship, engage in peer-to-peer activities, and more.</w:t>
      </w:r>
    </w:p>
    <w:p w14:paraId="57435657" w14:textId="4B7125AB" w:rsidR="00607434" w:rsidRDefault="00607434" w:rsidP="00846999">
      <w:pPr>
        <w:pStyle w:val="ListParagraph"/>
        <w:numPr>
          <w:ilvl w:val="0"/>
          <w:numId w:val="7"/>
        </w:numPr>
        <w:jc w:val="both"/>
        <w:rPr>
          <w:sz w:val="24"/>
          <w:szCs w:val="24"/>
        </w:rPr>
      </w:pPr>
      <w:r>
        <w:rPr>
          <w:sz w:val="24"/>
          <w:szCs w:val="24"/>
        </w:rPr>
        <w:t xml:space="preserve">The group highlighted that for recommendations that encourage things like digital media literacy, programming be developed in multiple mediums and reading levels to ensure that </w:t>
      </w:r>
      <w:r w:rsidR="00033470">
        <w:rPr>
          <w:sz w:val="24"/>
          <w:szCs w:val="24"/>
        </w:rPr>
        <w:t>audiences of any age and background can access the resource.</w:t>
      </w:r>
    </w:p>
    <w:p w14:paraId="0B714641" w14:textId="13663CE7" w:rsidR="00033470" w:rsidRDefault="00033470" w:rsidP="00846999">
      <w:pPr>
        <w:pStyle w:val="ListParagraph"/>
        <w:numPr>
          <w:ilvl w:val="0"/>
          <w:numId w:val="7"/>
        </w:numPr>
        <w:jc w:val="both"/>
        <w:rPr>
          <w:sz w:val="24"/>
          <w:szCs w:val="24"/>
        </w:rPr>
      </w:pPr>
      <w:r>
        <w:rPr>
          <w:sz w:val="24"/>
          <w:szCs w:val="24"/>
        </w:rPr>
        <w:t>The group discussed the importance of ensuring that recommendations regarding supporting extracurricular activities for youth be inclusive of clubs/programming for all youth, including those who are not in public schools and those who rely on community-based organizations for extracurricular activities. The group also made clear that adults leading these activities and clubs receive some type of training to ensure that meaningful mentorship and relationships are built, and that a referral list of some sort is created as a resource for youth who may need additional support, such as mental health services.</w:t>
      </w:r>
    </w:p>
    <w:p w14:paraId="7B33F9BD" w14:textId="17297938" w:rsidR="00033470" w:rsidRPr="00A9639C" w:rsidRDefault="00033470" w:rsidP="00846999">
      <w:pPr>
        <w:pStyle w:val="ListParagraph"/>
        <w:numPr>
          <w:ilvl w:val="0"/>
          <w:numId w:val="7"/>
        </w:numPr>
        <w:jc w:val="both"/>
        <w:rPr>
          <w:sz w:val="24"/>
          <w:szCs w:val="24"/>
        </w:rPr>
      </w:pPr>
      <w:r>
        <w:rPr>
          <w:sz w:val="24"/>
          <w:szCs w:val="24"/>
        </w:rPr>
        <w:t>The group will meet again in February to continue discussing and developing recommendations at the primordial/primary level.</w:t>
      </w:r>
    </w:p>
    <w:sectPr w:rsidR="00033470" w:rsidRPr="00A9639C" w:rsidSect="00033470">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399"/>
    <w:multiLevelType w:val="hybridMultilevel"/>
    <w:tmpl w:val="4BF2DE4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70A0A7B"/>
    <w:multiLevelType w:val="hybridMultilevel"/>
    <w:tmpl w:val="3492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7"/>
  </w:num>
  <w:num w:numId="3" w16cid:durableId="1338120782">
    <w:abstractNumId w:val="8"/>
  </w:num>
  <w:num w:numId="4" w16cid:durableId="119961659">
    <w:abstractNumId w:val="0"/>
  </w:num>
  <w:num w:numId="5" w16cid:durableId="254630871">
    <w:abstractNumId w:val="2"/>
  </w:num>
  <w:num w:numId="6" w16cid:durableId="27528887">
    <w:abstractNumId w:val="3"/>
  </w:num>
  <w:num w:numId="7" w16cid:durableId="319963277">
    <w:abstractNumId w:val="4"/>
  </w:num>
  <w:num w:numId="8" w16cid:durableId="814222061">
    <w:abstractNumId w:val="6"/>
  </w:num>
  <w:num w:numId="9" w16cid:durableId="209323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33470"/>
    <w:rsid w:val="000608E0"/>
    <w:rsid w:val="0007445A"/>
    <w:rsid w:val="0007552C"/>
    <w:rsid w:val="00082979"/>
    <w:rsid w:val="000A09A5"/>
    <w:rsid w:val="000A1B8C"/>
    <w:rsid w:val="000C4753"/>
    <w:rsid w:val="000E151A"/>
    <w:rsid w:val="001917C0"/>
    <w:rsid w:val="001A5A42"/>
    <w:rsid w:val="001B0536"/>
    <w:rsid w:val="001D3673"/>
    <w:rsid w:val="001F0545"/>
    <w:rsid w:val="0020341D"/>
    <w:rsid w:val="00223227"/>
    <w:rsid w:val="002666F4"/>
    <w:rsid w:val="00273992"/>
    <w:rsid w:val="002A1FC0"/>
    <w:rsid w:val="002F3667"/>
    <w:rsid w:val="00307875"/>
    <w:rsid w:val="003464E7"/>
    <w:rsid w:val="00350C38"/>
    <w:rsid w:val="00352FD6"/>
    <w:rsid w:val="003726DB"/>
    <w:rsid w:val="00393EA4"/>
    <w:rsid w:val="003D6907"/>
    <w:rsid w:val="00420A1B"/>
    <w:rsid w:val="00451628"/>
    <w:rsid w:val="00474FDB"/>
    <w:rsid w:val="004867D3"/>
    <w:rsid w:val="0049150B"/>
    <w:rsid w:val="004B7C49"/>
    <w:rsid w:val="004C273A"/>
    <w:rsid w:val="005A76A0"/>
    <w:rsid w:val="00607434"/>
    <w:rsid w:val="00621545"/>
    <w:rsid w:val="006303CD"/>
    <w:rsid w:val="006A6655"/>
    <w:rsid w:val="006E4619"/>
    <w:rsid w:val="006F006C"/>
    <w:rsid w:val="00741E6E"/>
    <w:rsid w:val="007B24A5"/>
    <w:rsid w:val="007B2AAA"/>
    <w:rsid w:val="008153FA"/>
    <w:rsid w:val="008230CD"/>
    <w:rsid w:val="00846999"/>
    <w:rsid w:val="0085100F"/>
    <w:rsid w:val="00860E5E"/>
    <w:rsid w:val="008F7DC1"/>
    <w:rsid w:val="00991E32"/>
    <w:rsid w:val="009A4145"/>
    <w:rsid w:val="009C5E29"/>
    <w:rsid w:val="00A20119"/>
    <w:rsid w:val="00A266E4"/>
    <w:rsid w:val="00A3135D"/>
    <w:rsid w:val="00A9639C"/>
    <w:rsid w:val="00AB09DD"/>
    <w:rsid w:val="00B8782D"/>
    <w:rsid w:val="00BB0175"/>
    <w:rsid w:val="00BF3C27"/>
    <w:rsid w:val="00C164BA"/>
    <w:rsid w:val="00C35C3B"/>
    <w:rsid w:val="00C755BF"/>
    <w:rsid w:val="00C9243A"/>
    <w:rsid w:val="00CC08D2"/>
    <w:rsid w:val="00CC32F5"/>
    <w:rsid w:val="00D02963"/>
    <w:rsid w:val="00D37FDF"/>
    <w:rsid w:val="00D62650"/>
    <w:rsid w:val="00D759CB"/>
    <w:rsid w:val="00DD1BB3"/>
    <w:rsid w:val="00DD3633"/>
    <w:rsid w:val="00DE6428"/>
    <w:rsid w:val="00E03E9F"/>
    <w:rsid w:val="00E95D30"/>
    <w:rsid w:val="00F11AE3"/>
    <w:rsid w:val="00F13854"/>
    <w:rsid w:val="00F20D6C"/>
    <w:rsid w:val="00F531CF"/>
    <w:rsid w:val="00FB476F"/>
    <w:rsid w:val="00FB54F5"/>
    <w:rsid w:val="00FF149D"/>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BB3"/>
    <w:rPr>
      <w:color w:val="0563C1" w:themeColor="hyperlink"/>
      <w:u w:val="single"/>
    </w:rPr>
  </w:style>
  <w:style w:type="character" w:styleId="UnresolvedMention">
    <w:name w:val="Unresolved Mention"/>
    <w:basedOn w:val="DefaultParagraphFont"/>
    <w:uiPriority w:val="99"/>
    <w:semiHidden/>
    <w:unhideWhenUsed/>
    <w:rsid w:val="00DD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Moran Aguirre, Osvaldo (ATG)</cp:lastModifiedBy>
  <cp:revision>2</cp:revision>
  <dcterms:created xsi:type="dcterms:W3CDTF">2026-01-16T00:01:00Z</dcterms:created>
  <dcterms:modified xsi:type="dcterms:W3CDTF">2026-01-16T00:01:00Z</dcterms:modified>
</cp:coreProperties>
</file>